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6EC" w:rsidRDefault="007D56EC">
      <w:pPr>
        <w:pStyle w:val="Heading1"/>
      </w:pPr>
      <w:bookmarkStart w:id="0" w:name="_GoBack"/>
      <w:bookmarkEnd w:id="0"/>
      <w:r>
        <w:t xml:space="preserve">ADMINISTRATIVE PROCEDURE </w:t>
      </w:r>
      <w:r w:rsidR="00826958">
        <w:t xml:space="preserve"> </w:t>
      </w:r>
      <w:r w:rsidR="00BF171C">
        <w:t>432</w:t>
      </w:r>
    </w:p>
    <w:p w:rsidR="007D56EC" w:rsidRDefault="007D56EC">
      <w:pPr>
        <w:rPr>
          <w:b/>
          <w:bCs/>
        </w:rPr>
      </w:pPr>
      <w:r>
        <w:rPr>
          <w:sz w:val="16"/>
        </w:rPr>
        <w:t>_________________________________________________________________________________________________</w:t>
      </w:r>
    </w:p>
    <w:p w:rsidR="007D56EC" w:rsidRDefault="007D56EC">
      <w:pPr>
        <w:pStyle w:val="Header"/>
        <w:rPr>
          <w:b/>
          <w:bCs/>
          <w:u w:val="single"/>
        </w:rPr>
      </w:pPr>
    </w:p>
    <w:p w:rsidR="007D56EC" w:rsidRDefault="007D56EC">
      <w:pPr>
        <w:pStyle w:val="Header"/>
        <w:rPr>
          <w:b/>
          <w:bCs/>
          <w:u w:val="single"/>
        </w:rPr>
      </w:pPr>
    </w:p>
    <w:p w:rsidR="007D56EC" w:rsidRDefault="007D56EC">
      <w:pPr>
        <w:rPr>
          <w:b/>
          <w:bCs/>
        </w:rPr>
      </w:pPr>
    </w:p>
    <w:p w:rsidR="007D56EC" w:rsidRDefault="00E23C84">
      <w:pPr>
        <w:pStyle w:val="Heading2"/>
        <w:ind w:firstLine="360"/>
      </w:pPr>
      <w:r>
        <w:t>LOCAL AUTHORITY PENSION PLAN (LAPP)</w:t>
      </w:r>
    </w:p>
    <w:p w:rsidR="007D56EC" w:rsidRDefault="007D56EC">
      <w:pPr>
        <w:jc w:val="center"/>
        <w:rPr>
          <w:b/>
          <w:bCs/>
          <w:sz w:val="28"/>
        </w:rPr>
      </w:pPr>
    </w:p>
    <w:p w:rsidR="007D56EC" w:rsidRDefault="007D56EC">
      <w:pPr>
        <w:jc w:val="center"/>
        <w:rPr>
          <w:b/>
          <w:bCs/>
          <w:sz w:val="28"/>
        </w:rPr>
      </w:pPr>
    </w:p>
    <w:p w:rsidR="007D56EC" w:rsidRDefault="007D56EC">
      <w:pPr>
        <w:pStyle w:val="Heading1"/>
      </w:pPr>
      <w:r>
        <w:t>Background</w:t>
      </w:r>
    </w:p>
    <w:p w:rsidR="007D56EC" w:rsidRDefault="007D56EC">
      <w:pPr>
        <w:tabs>
          <w:tab w:val="left" w:pos="0"/>
          <w:tab w:val="left" w:pos="720"/>
          <w:tab w:val="left" w:pos="1440"/>
          <w:tab w:val="left" w:pos="5040"/>
        </w:tabs>
        <w:suppressAutoHyphens/>
        <w:jc w:val="both"/>
        <w:rPr>
          <w:spacing w:val="-3"/>
          <w:lang w:val="en-GB"/>
        </w:rPr>
      </w:pPr>
    </w:p>
    <w:p w:rsidR="007D56EC" w:rsidRDefault="001147DC">
      <w:pPr>
        <w:pStyle w:val="Header"/>
        <w:tabs>
          <w:tab w:val="left" w:pos="0"/>
          <w:tab w:val="left" w:pos="360"/>
          <w:tab w:val="left" w:pos="720"/>
          <w:tab w:val="left" w:pos="1440"/>
          <w:tab w:val="left" w:pos="2160"/>
          <w:tab w:val="left" w:pos="5040"/>
        </w:tabs>
        <w:suppressAutoHyphens/>
        <w:jc w:val="both"/>
        <w:rPr>
          <w:szCs w:val="24"/>
        </w:rPr>
      </w:pPr>
      <w:r>
        <w:t xml:space="preserve">The Division believes in the benefits of participating in the Local Authorities Pension Plan.  </w:t>
      </w:r>
      <w:r>
        <w:rPr>
          <w:color w:val="000000"/>
          <w:szCs w:val="22"/>
        </w:rPr>
        <w:t>The</w:t>
      </w:r>
      <w:r w:rsidR="00E23C84">
        <w:rPr>
          <w:color w:val="000000"/>
          <w:szCs w:val="22"/>
        </w:rPr>
        <w:t xml:space="preserve"> Division shall meet the obligations and requirements of the Local Authorities Pension Plan (LAPP) Act and its regulations.</w:t>
      </w:r>
    </w:p>
    <w:p w:rsidR="007D56EC" w:rsidRDefault="007D56EC">
      <w:pPr>
        <w:pStyle w:val="Header"/>
        <w:tabs>
          <w:tab w:val="left" w:pos="0"/>
          <w:tab w:val="left" w:pos="360"/>
          <w:tab w:val="left" w:pos="720"/>
          <w:tab w:val="left" w:pos="1440"/>
          <w:tab w:val="left" w:pos="2160"/>
          <w:tab w:val="left" w:pos="5040"/>
        </w:tabs>
        <w:suppressAutoHyphens/>
        <w:jc w:val="both"/>
        <w:rPr>
          <w:szCs w:val="24"/>
        </w:rPr>
      </w:pPr>
    </w:p>
    <w:p w:rsidR="007D56EC" w:rsidRDefault="007D56EC">
      <w:pPr>
        <w:pStyle w:val="Header"/>
        <w:tabs>
          <w:tab w:val="left" w:pos="0"/>
          <w:tab w:val="left" w:pos="360"/>
          <w:tab w:val="left" w:pos="720"/>
          <w:tab w:val="left" w:pos="1440"/>
          <w:tab w:val="left" w:pos="2160"/>
          <w:tab w:val="left" w:pos="5040"/>
        </w:tabs>
        <w:suppressAutoHyphens/>
        <w:jc w:val="both"/>
        <w:rPr>
          <w:szCs w:val="24"/>
        </w:rPr>
      </w:pPr>
    </w:p>
    <w:p w:rsidR="007D56EC" w:rsidRDefault="007D56EC">
      <w:pPr>
        <w:pStyle w:val="Header"/>
        <w:tabs>
          <w:tab w:val="left" w:pos="0"/>
          <w:tab w:val="left" w:pos="360"/>
          <w:tab w:val="left" w:pos="720"/>
          <w:tab w:val="left" w:pos="1440"/>
          <w:tab w:val="left" w:pos="2160"/>
          <w:tab w:val="left" w:pos="5040"/>
        </w:tabs>
        <w:suppressAutoHyphens/>
        <w:jc w:val="both"/>
        <w:rPr>
          <w:b/>
          <w:bCs/>
          <w:szCs w:val="24"/>
        </w:rPr>
      </w:pPr>
      <w:r>
        <w:rPr>
          <w:b/>
          <w:bCs/>
          <w:szCs w:val="24"/>
        </w:rPr>
        <w:t>Procedures</w:t>
      </w:r>
    </w:p>
    <w:p w:rsidR="007D56EC" w:rsidRDefault="007D56EC">
      <w:pPr>
        <w:pStyle w:val="Header"/>
        <w:tabs>
          <w:tab w:val="left" w:pos="0"/>
          <w:tab w:val="left" w:pos="360"/>
          <w:tab w:val="left" w:pos="720"/>
          <w:tab w:val="left" w:pos="1440"/>
          <w:tab w:val="left" w:pos="2160"/>
          <w:tab w:val="left" w:pos="5040"/>
        </w:tabs>
        <w:suppressAutoHyphens/>
        <w:jc w:val="both"/>
        <w:rPr>
          <w:szCs w:val="24"/>
        </w:rPr>
      </w:pP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r>
        <w:rPr>
          <w:szCs w:val="24"/>
        </w:rPr>
        <w:t>1.</w:t>
      </w:r>
      <w:r>
        <w:rPr>
          <w:szCs w:val="24"/>
        </w:rPr>
        <w:tab/>
      </w:r>
      <w:r w:rsidR="00E23C84">
        <w:rPr>
          <w:color w:val="000000"/>
          <w:szCs w:val="22"/>
        </w:rPr>
        <w:t xml:space="preserve">Eligible employees are those employees not covered under the Alberta Teachers Retirement Fund (ATRF) and hold a permanent contract. </w:t>
      </w: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r>
        <w:rPr>
          <w:szCs w:val="24"/>
        </w:rPr>
        <w:t>2.</w:t>
      </w:r>
      <w:r>
        <w:rPr>
          <w:szCs w:val="24"/>
        </w:rPr>
        <w:tab/>
      </w:r>
      <w:r w:rsidR="00E23C84">
        <w:rPr>
          <w:color w:val="000000"/>
          <w:szCs w:val="22"/>
        </w:rPr>
        <w:t>Participation in the Plan shall be in accordance with the LAPP Act and its Regulations.</w:t>
      </w: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r>
        <w:rPr>
          <w:szCs w:val="24"/>
        </w:rPr>
        <w:t>3.</w:t>
      </w:r>
      <w:r>
        <w:rPr>
          <w:szCs w:val="24"/>
        </w:rPr>
        <w:tab/>
      </w:r>
      <w:r w:rsidR="00E23C84">
        <w:rPr>
          <w:color w:val="000000"/>
          <w:szCs w:val="22"/>
        </w:rPr>
        <w:t>Participation in LAPP is mandatory for continuing/permanent employees working thirty (30) hours, or more, per week after one year of service.</w:t>
      </w: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p>
    <w:p w:rsidR="00C86A39" w:rsidRDefault="007D56EC" w:rsidP="00E23C84">
      <w:pPr>
        <w:pStyle w:val="Header"/>
        <w:tabs>
          <w:tab w:val="left" w:pos="360"/>
          <w:tab w:val="left" w:pos="720"/>
          <w:tab w:val="left" w:pos="1440"/>
          <w:tab w:val="left" w:pos="2160"/>
          <w:tab w:val="left" w:pos="5040"/>
        </w:tabs>
        <w:suppressAutoHyphens/>
        <w:ind w:left="378" w:hanging="396"/>
        <w:jc w:val="both"/>
        <w:rPr>
          <w:szCs w:val="24"/>
        </w:rPr>
      </w:pPr>
      <w:r>
        <w:rPr>
          <w:szCs w:val="24"/>
        </w:rPr>
        <w:t>4.</w:t>
      </w:r>
      <w:r>
        <w:rPr>
          <w:szCs w:val="24"/>
        </w:rPr>
        <w:tab/>
      </w:r>
      <w:r w:rsidR="00E23C84">
        <w:rPr>
          <w:color w:val="000000"/>
          <w:szCs w:val="22"/>
        </w:rPr>
        <w:t>Participation in LAPP will be optional for those continuing/permanent employees who work less than thirty (30) hours per week but not less than fourteen (1</w:t>
      </w:r>
      <w:r w:rsidR="00BF171C">
        <w:rPr>
          <w:color w:val="000000"/>
          <w:szCs w:val="22"/>
        </w:rPr>
        <w:t>4</w:t>
      </w:r>
      <w:r w:rsidR="00E23C84">
        <w:rPr>
          <w:color w:val="000000"/>
          <w:szCs w:val="22"/>
        </w:rPr>
        <w:t>) hours per week.</w:t>
      </w: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r>
        <w:rPr>
          <w:szCs w:val="24"/>
        </w:rPr>
        <w:t>5.</w:t>
      </w:r>
      <w:r>
        <w:rPr>
          <w:szCs w:val="24"/>
        </w:rPr>
        <w:tab/>
      </w:r>
      <w:r w:rsidR="00E23C84">
        <w:rPr>
          <w:color w:val="000000"/>
          <w:szCs w:val="22"/>
        </w:rPr>
        <w:t>Employees who work less than fourteen (1</w:t>
      </w:r>
      <w:r w:rsidR="00BF171C">
        <w:rPr>
          <w:color w:val="000000"/>
          <w:szCs w:val="22"/>
        </w:rPr>
        <w:t>4</w:t>
      </w:r>
      <w:r w:rsidR="00E23C84">
        <w:rPr>
          <w:color w:val="000000"/>
          <w:szCs w:val="22"/>
        </w:rPr>
        <w:t>) hours per week are non-participating and ineligible for LAPP.</w:t>
      </w: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r>
        <w:rPr>
          <w:szCs w:val="24"/>
        </w:rPr>
        <w:t>6.</w:t>
      </w:r>
      <w:r>
        <w:rPr>
          <w:szCs w:val="24"/>
        </w:rPr>
        <w:tab/>
      </w:r>
      <w:r w:rsidR="00E23C84">
        <w:rPr>
          <w:color w:val="000000"/>
          <w:szCs w:val="22"/>
        </w:rPr>
        <w:t xml:space="preserve">Once employees have been enrolled, they remain members until they leave employment. A temporary drop in hours would not allow for the re-determination of an employee’s membership, unless they move to </w:t>
      </w:r>
      <w:r w:rsidR="00E23C84" w:rsidRPr="00EE7CFD">
        <w:rPr>
          <w:color w:val="000000"/>
          <w:szCs w:val="22"/>
        </w:rPr>
        <w:t>non-participating.</w:t>
      </w:r>
      <w:r>
        <w:rPr>
          <w:szCs w:val="24"/>
        </w:rPr>
        <w:t xml:space="preserve"> </w:t>
      </w: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p>
    <w:p w:rsidR="007D56EC" w:rsidRDefault="007D56EC">
      <w:pPr>
        <w:pStyle w:val="Header"/>
        <w:tabs>
          <w:tab w:val="left" w:pos="360"/>
          <w:tab w:val="left" w:pos="720"/>
          <w:tab w:val="left" w:pos="1440"/>
          <w:tab w:val="left" w:pos="2160"/>
          <w:tab w:val="left" w:pos="5040"/>
        </w:tabs>
        <w:suppressAutoHyphens/>
        <w:ind w:left="378" w:hanging="396"/>
        <w:jc w:val="both"/>
        <w:rPr>
          <w:szCs w:val="24"/>
        </w:rPr>
      </w:pPr>
      <w:r>
        <w:rPr>
          <w:szCs w:val="24"/>
        </w:rPr>
        <w:t>7.</w:t>
      </w:r>
      <w:r>
        <w:rPr>
          <w:szCs w:val="24"/>
        </w:rPr>
        <w:tab/>
      </w:r>
      <w:r w:rsidR="00E23C84">
        <w:rPr>
          <w:color w:val="000000"/>
          <w:szCs w:val="22"/>
        </w:rPr>
        <w:t>A probationary period of one (1) year will be required before eligible employees may join LAPP.</w:t>
      </w:r>
    </w:p>
    <w:p w:rsidR="007D56EC" w:rsidRDefault="007D56EC">
      <w:pPr>
        <w:pStyle w:val="Header"/>
        <w:tabs>
          <w:tab w:val="left" w:pos="0"/>
          <w:tab w:val="left" w:pos="360"/>
          <w:tab w:val="left" w:pos="720"/>
          <w:tab w:val="left" w:pos="1440"/>
          <w:tab w:val="left" w:pos="2160"/>
          <w:tab w:val="left" w:pos="5040"/>
        </w:tabs>
        <w:suppressAutoHyphens/>
        <w:jc w:val="both"/>
        <w:rPr>
          <w:szCs w:val="24"/>
        </w:rPr>
      </w:pPr>
    </w:p>
    <w:p w:rsidR="007D56EC" w:rsidRDefault="00E23C84">
      <w:pPr>
        <w:pStyle w:val="Header"/>
        <w:numPr>
          <w:ilvl w:val="0"/>
          <w:numId w:val="1"/>
        </w:numPr>
        <w:tabs>
          <w:tab w:val="clear" w:pos="1440"/>
          <w:tab w:val="left" w:pos="0"/>
          <w:tab w:val="num" w:pos="360"/>
          <w:tab w:val="left" w:pos="720"/>
          <w:tab w:val="left" w:pos="2160"/>
          <w:tab w:val="left" w:pos="5040"/>
        </w:tabs>
        <w:suppressAutoHyphens/>
        <w:ind w:left="378"/>
        <w:jc w:val="both"/>
        <w:rPr>
          <w:szCs w:val="24"/>
        </w:rPr>
      </w:pPr>
      <w:r>
        <w:rPr>
          <w:color w:val="000000"/>
          <w:szCs w:val="22"/>
        </w:rPr>
        <w:t>Proven service with another local authority will count toward completing the probationary period if any break in employment between the former and current employer is not more than one working day.</w:t>
      </w:r>
    </w:p>
    <w:p w:rsidR="007D56EC" w:rsidRDefault="007D56EC">
      <w:pPr>
        <w:pStyle w:val="Header"/>
        <w:tabs>
          <w:tab w:val="left" w:pos="0"/>
          <w:tab w:val="num" w:pos="360"/>
          <w:tab w:val="left" w:pos="720"/>
          <w:tab w:val="left" w:pos="2160"/>
          <w:tab w:val="left" w:pos="5040"/>
        </w:tabs>
        <w:suppressAutoHyphens/>
        <w:ind w:left="378"/>
        <w:jc w:val="both"/>
        <w:rPr>
          <w:szCs w:val="24"/>
        </w:rPr>
      </w:pPr>
    </w:p>
    <w:p w:rsidR="007D56EC" w:rsidRDefault="00E23C84">
      <w:pPr>
        <w:pStyle w:val="Header"/>
        <w:numPr>
          <w:ilvl w:val="0"/>
          <w:numId w:val="1"/>
        </w:numPr>
        <w:tabs>
          <w:tab w:val="clear" w:pos="1440"/>
          <w:tab w:val="left" w:pos="0"/>
          <w:tab w:val="num" w:pos="360"/>
          <w:tab w:val="left" w:pos="720"/>
          <w:tab w:val="left" w:pos="2160"/>
          <w:tab w:val="left" w:pos="5040"/>
        </w:tabs>
        <w:suppressAutoHyphens/>
        <w:ind w:left="378"/>
        <w:jc w:val="both"/>
        <w:rPr>
          <w:szCs w:val="24"/>
        </w:rPr>
      </w:pPr>
      <w:r>
        <w:rPr>
          <w:color w:val="000000"/>
          <w:szCs w:val="22"/>
        </w:rPr>
        <w:t xml:space="preserve">Once an employee has been on extended disability for a period of </w:t>
      </w:r>
      <w:proofErr w:type="gramStart"/>
      <w:r>
        <w:rPr>
          <w:color w:val="000000"/>
          <w:szCs w:val="22"/>
        </w:rPr>
        <w:t>twenty four</w:t>
      </w:r>
      <w:proofErr w:type="gramEnd"/>
      <w:r>
        <w:rPr>
          <w:color w:val="000000"/>
          <w:szCs w:val="22"/>
        </w:rPr>
        <w:t xml:space="preserve"> (24) months and there is medical evidence to support that the employee will be unable to return to work because of disability, the Board shall then have the right to terminate the relationship.</w:t>
      </w:r>
    </w:p>
    <w:p w:rsidR="007D56EC" w:rsidRDefault="007D56EC">
      <w:pPr>
        <w:pStyle w:val="Header"/>
        <w:tabs>
          <w:tab w:val="left" w:pos="0"/>
          <w:tab w:val="num" w:pos="360"/>
          <w:tab w:val="left" w:pos="720"/>
          <w:tab w:val="left" w:pos="2160"/>
          <w:tab w:val="left" w:pos="5040"/>
        </w:tabs>
        <w:suppressAutoHyphens/>
        <w:ind w:left="378"/>
        <w:jc w:val="both"/>
        <w:rPr>
          <w:szCs w:val="24"/>
        </w:rPr>
      </w:pPr>
    </w:p>
    <w:p w:rsidR="00B1328D" w:rsidRPr="00E8212B" w:rsidRDefault="00E23C84" w:rsidP="00B1328D">
      <w:pPr>
        <w:rPr>
          <w:i/>
          <w:sz w:val="18"/>
          <w:szCs w:val="18"/>
        </w:rPr>
      </w:pPr>
      <w:r w:rsidRPr="00EE7CFD">
        <w:rPr>
          <w:i/>
          <w:sz w:val="18"/>
          <w:szCs w:val="18"/>
        </w:rPr>
        <w:t>Established August 2022</w:t>
      </w:r>
    </w:p>
    <w:p w:rsidR="00B1328D" w:rsidRPr="00E8212B" w:rsidRDefault="00B1328D" w:rsidP="00B1328D">
      <w:pPr>
        <w:rPr>
          <w:i/>
          <w:sz w:val="18"/>
          <w:szCs w:val="18"/>
        </w:rPr>
      </w:pPr>
      <w:r w:rsidRPr="00E8212B">
        <w:rPr>
          <w:i/>
          <w:sz w:val="18"/>
          <w:szCs w:val="18"/>
        </w:rPr>
        <w:t xml:space="preserve">Updates:  </w:t>
      </w:r>
    </w:p>
    <w:p w:rsidR="00E8212B" w:rsidRDefault="00E8212B">
      <w:pPr>
        <w:pStyle w:val="Header"/>
        <w:tabs>
          <w:tab w:val="left" w:pos="0"/>
          <w:tab w:val="left" w:pos="360"/>
          <w:tab w:val="left" w:pos="720"/>
          <w:tab w:val="left" w:pos="1440"/>
          <w:tab w:val="left" w:pos="2160"/>
          <w:tab w:val="left" w:pos="5040"/>
        </w:tabs>
        <w:suppressAutoHyphens/>
        <w:jc w:val="both"/>
        <w:rPr>
          <w:szCs w:val="24"/>
        </w:rPr>
      </w:pPr>
    </w:p>
    <w:p w:rsidR="007D56EC" w:rsidRPr="00E8212B" w:rsidRDefault="007D56EC">
      <w:pPr>
        <w:pStyle w:val="Header"/>
        <w:tabs>
          <w:tab w:val="left" w:pos="0"/>
          <w:tab w:val="left" w:pos="360"/>
          <w:tab w:val="left" w:pos="720"/>
          <w:tab w:val="left" w:pos="1440"/>
          <w:tab w:val="left" w:pos="2160"/>
          <w:tab w:val="left" w:pos="5040"/>
        </w:tabs>
        <w:suppressAutoHyphens/>
        <w:rPr>
          <w:sz w:val="18"/>
          <w:szCs w:val="18"/>
        </w:rPr>
      </w:pPr>
    </w:p>
    <w:p w:rsidR="007D56EC" w:rsidRPr="00E8212B" w:rsidRDefault="007D56EC">
      <w:pPr>
        <w:pStyle w:val="Header"/>
        <w:tabs>
          <w:tab w:val="left" w:pos="0"/>
          <w:tab w:val="left" w:pos="360"/>
          <w:tab w:val="left" w:pos="720"/>
          <w:tab w:val="left" w:pos="1440"/>
          <w:tab w:val="left" w:pos="2160"/>
          <w:tab w:val="left" w:pos="5040"/>
        </w:tabs>
        <w:suppressAutoHyphens/>
        <w:rPr>
          <w:b/>
          <w:bCs/>
          <w:sz w:val="18"/>
          <w:szCs w:val="18"/>
        </w:rPr>
      </w:pPr>
      <w:r w:rsidRPr="00E8212B">
        <w:rPr>
          <w:b/>
          <w:bCs/>
          <w:sz w:val="18"/>
          <w:szCs w:val="18"/>
        </w:rPr>
        <w:t>References</w:t>
      </w:r>
    </w:p>
    <w:p w:rsidR="007D56EC" w:rsidRPr="00EE7CFD" w:rsidRDefault="00E23C84">
      <w:pPr>
        <w:pStyle w:val="Header"/>
        <w:tabs>
          <w:tab w:val="left" w:pos="0"/>
          <w:tab w:val="left" w:pos="360"/>
          <w:tab w:val="left" w:pos="720"/>
          <w:tab w:val="left" w:pos="1440"/>
          <w:tab w:val="left" w:pos="2160"/>
          <w:tab w:val="left" w:pos="5040"/>
        </w:tabs>
        <w:suppressAutoHyphens/>
        <w:rPr>
          <w:sz w:val="18"/>
          <w:szCs w:val="18"/>
        </w:rPr>
      </w:pPr>
      <w:r w:rsidRPr="00EE7CFD">
        <w:rPr>
          <w:color w:val="000000"/>
          <w:sz w:val="18"/>
          <w:szCs w:val="18"/>
        </w:rPr>
        <w:t>Relevant Legislation &amp; Guidelines</w:t>
      </w:r>
    </w:p>
    <w:p w:rsidR="00E8212B" w:rsidRPr="00E8212B" w:rsidRDefault="00E8212B">
      <w:pPr>
        <w:rPr>
          <w:i/>
          <w:sz w:val="18"/>
          <w:szCs w:val="18"/>
        </w:rPr>
      </w:pPr>
    </w:p>
    <w:sectPr w:rsidR="00E8212B" w:rsidRPr="00E8212B" w:rsidSect="001305F2">
      <w:footerReference w:type="default" r:id="rId7"/>
      <w:pgSz w:w="12240" w:h="15840" w:code="1"/>
      <w:pgMar w:top="1224" w:right="1440" w:bottom="1080" w:left="1800" w:header="706"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A31" w:rsidRDefault="00732A31">
      <w:r>
        <w:separator/>
      </w:r>
    </w:p>
  </w:endnote>
  <w:endnote w:type="continuationSeparator" w:id="0">
    <w:p w:rsidR="00732A31" w:rsidRDefault="0073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AA" w:rsidRPr="00E8212B" w:rsidRDefault="00763CAA" w:rsidP="00E8212B">
    <w:pPr>
      <w:pStyle w:val="Footer"/>
      <w:pBdr>
        <w:top w:val="single" w:sz="4" w:space="1" w:color="auto"/>
      </w:pBdr>
      <w:tabs>
        <w:tab w:val="left" w:pos="7380"/>
      </w:tabs>
      <w:rPr>
        <w:i/>
        <w:sz w:val="18"/>
        <w:szCs w:val="18"/>
      </w:rPr>
    </w:pPr>
    <w:r w:rsidRPr="00E8212B">
      <w:rPr>
        <w:i/>
        <w:sz w:val="18"/>
        <w:szCs w:val="18"/>
      </w:rPr>
      <w:t>Livingstone Range School Division</w:t>
    </w:r>
    <w:r w:rsidRPr="00E8212B">
      <w:rPr>
        <w:i/>
        <w:sz w:val="18"/>
        <w:szCs w:val="18"/>
      </w:rPr>
      <w:tab/>
    </w:r>
    <w:r w:rsidRPr="00E8212B">
      <w:rPr>
        <w:i/>
        <w:sz w:val="18"/>
        <w:szCs w:val="18"/>
      </w:rPr>
      <w:tab/>
      <w:t xml:space="preserve"> </w:t>
    </w:r>
    <w:r>
      <w:rPr>
        <w:i/>
        <w:sz w:val="18"/>
        <w:szCs w:val="18"/>
      </w:rPr>
      <w:t xml:space="preserve">          </w:t>
    </w:r>
    <w:r w:rsidRPr="00E8212B">
      <w:rPr>
        <w:i/>
        <w:sz w:val="18"/>
        <w:szCs w:val="18"/>
      </w:rPr>
      <w:t xml:space="preserve"> Page </w:t>
    </w:r>
    <w:r w:rsidRPr="00E8212B">
      <w:rPr>
        <w:rStyle w:val="PageNumber"/>
        <w:i/>
        <w:sz w:val="18"/>
        <w:szCs w:val="18"/>
      </w:rPr>
      <w:fldChar w:fldCharType="begin"/>
    </w:r>
    <w:r w:rsidRPr="00E8212B">
      <w:rPr>
        <w:rStyle w:val="PageNumber"/>
        <w:i/>
        <w:sz w:val="18"/>
        <w:szCs w:val="18"/>
      </w:rPr>
      <w:instrText xml:space="preserve"> PAGE </w:instrText>
    </w:r>
    <w:r w:rsidRPr="00E8212B">
      <w:rPr>
        <w:rStyle w:val="PageNumber"/>
        <w:i/>
        <w:sz w:val="18"/>
        <w:szCs w:val="18"/>
      </w:rPr>
      <w:fldChar w:fldCharType="separate"/>
    </w:r>
    <w:r w:rsidR="008070E2">
      <w:rPr>
        <w:rStyle w:val="PageNumber"/>
        <w:i/>
        <w:noProof/>
        <w:sz w:val="18"/>
        <w:szCs w:val="18"/>
      </w:rPr>
      <w:t>1</w:t>
    </w:r>
    <w:r w:rsidRPr="00E8212B">
      <w:rPr>
        <w:rStyle w:val="PageNumber"/>
        <w:i/>
        <w:sz w:val="18"/>
        <w:szCs w:val="18"/>
      </w:rPr>
      <w:fldChar w:fldCharType="end"/>
    </w:r>
    <w:r w:rsidRPr="00E8212B">
      <w:rPr>
        <w:rStyle w:val="PageNumber"/>
        <w:i/>
        <w:sz w:val="18"/>
        <w:szCs w:val="18"/>
      </w:rPr>
      <w:t xml:space="preserve"> of </w:t>
    </w:r>
    <w:r w:rsidRPr="00E8212B">
      <w:rPr>
        <w:rStyle w:val="PageNumber"/>
        <w:i/>
        <w:sz w:val="18"/>
        <w:szCs w:val="18"/>
      </w:rPr>
      <w:fldChar w:fldCharType="begin"/>
    </w:r>
    <w:r w:rsidRPr="00E8212B">
      <w:rPr>
        <w:rStyle w:val="PageNumber"/>
        <w:i/>
        <w:sz w:val="18"/>
        <w:szCs w:val="18"/>
      </w:rPr>
      <w:instrText xml:space="preserve"> NUMPAGES </w:instrText>
    </w:r>
    <w:r w:rsidRPr="00E8212B">
      <w:rPr>
        <w:rStyle w:val="PageNumber"/>
        <w:i/>
        <w:sz w:val="18"/>
        <w:szCs w:val="18"/>
      </w:rPr>
      <w:fldChar w:fldCharType="separate"/>
    </w:r>
    <w:r w:rsidR="008070E2">
      <w:rPr>
        <w:rStyle w:val="PageNumber"/>
        <w:i/>
        <w:noProof/>
        <w:sz w:val="18"/>
        <w:szCs w:val="18"/>
      </w:rPr>
      <w:t>2</w:t>
    </w:r>
    <w:r w:rsidRPr="00E8212B">
      <w:rPr>
        <w:rStyle w:val="PageNumber"/>
        <w:i/>
        <w:sz w:val="18"/>
        <w:szCs w:val="18"/>
      </w:rPr>
      <w:fldChar w:fldCharType="end"/>
    </w:r>
  </w:p>
  <w:p w:rsidR="00763CAA" w:rsidRPr="00E8212B" w:rsidRDefault="00763CAA">
    <w:pPr>
      <w:pStyle w:val="Footer"/>
      <w:rPr>
        <w:i/>
        <w:sz w:val="18"/>
        <w:szCs w:val="18"/>
      </w:rPr>
    </w:pPr>
    <w:r w:rsidRPr="00E8212B">
      <w:rPr>
        <w:i/>
        <w:sz w:val="18"/>
        <w:szCs w:val="18"/>
      </w:rPr>
      <w:t>Administrative Procedures Manual</w:t>
    </w:r>
    <w:r w:rsidRPr="00E8212B">
      <w:rPr>
        <w:i/>
        <w:sz w:val="18"/>
        <w:szCs w:val="18"/>
      </w:rPr>
      <w:tab/>
    </w:r>
    <w:r w:rsidRPr="00E8212B">
      <w:rPr>
        <w:i/>
        <w:sz w:val="18"/>
        <w:szCs w:val="18"/>
      </w:rPr>
      <w:tab/>
    </w:r>
  </w:p>
  <w:p w:rsidR="00763CAA" w:rsidRPr="002F5F9A" w:rsidRDefault="00763CAA">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A31" w:rsidRDefault="00732A31">
      <w:r>
        <w:separator/>
      </w:r>
    </w:p>
  </w:footnote>
  <w:footnote w:type="continuationSeparator" w:id="0">
    <w:p w:rsidR="00732A31" w:rsidRDefault="00732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2459"/>
    <w:multiLevelType w:val="hybridMultilevel"/>
    <w:tmpl w:val="5BB6DF24"/>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58EB7F10"/>
    <w:multiLevelType w:val="hybridMultilevel"/>
    <w:tmpl w:val="D97E5BCA"/>
    <w:lvl w:ilvl="0" w:tplc="F570790E">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1F"/>
    <w:rsid w:val="001147DC"/>
    <w:rsid w:val="001305F2"/>
    <w:rsid w:val="003B751C"/>
    <w:rsid w:val="00454589"/>
    <w:rsid w:val="0062212B"/>
    <w:rsid w:val="00732A31"/>
    <w:rsid w:val="00747335"/>
    <w:rsid w:val="00763CAA"/>
    <w:rsid w:val="007D56EC"/>
    <w:rsid w:val="008070E2"/>
    <w:rsid w:val="00813E84"/>
    <w:rsid w:val="00826958"/>
    <w:rsid w:val="008A54CA"/>
    <w:rsid w:val="008B681F"/>
    <w:rsid w:val="008F04C3"/>
    <w:rsid w:val="00AB4007"/>
    <w:rsid w:val="00B1328D"/>
    <w:rsid w:val="00BF171C"/>
    <w:rsid w:val="00C86A39"/>
    <w:rsid w:val="00CA3969"/>
    <w:rsid w:val="00E146B5"/>
    <w:rsid w:val="00E224D7"/>
    <w:rsid w:val="00E23C84"/>
    <w:rsid w:val="00E64989"/>
    <w:rsid w:val="00E8212B"/>
    <w:rsid w:val="00EE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B4A705-46D2-41C5-BA8B-D14C4901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jc w:val="center"/>
      <w:outlineLvl w:val="1"/>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rsid w:val="00E8212B"/>
  </w:style>
  <w:style w:type="paragraph" w:styleId="BalloonText">
    <w:name w:val="Balloon Text"/>
    <w:basedOn w:val="Normal"/>
    <w:link w:val="BalloonTextChar"/>
    <w:semiHidden/>
    <w:unhideWhenUsed/>
    <w:rsid w:val="00B1328D"/>
    <w:rPr>
      <w:rFonts w:ascii="Segoe UI" w:hAnsi="Segoe UI" w:cs="Segoe UI"/>
      <w:sz w:val="18"/>
      <w:szCs w:val="18"/>
    </w:rPr>
  </w:style>
  <w:style w:type="character" w:customStyle="1" w:styleId="BalloonTextChar">
    <w:name w:val="Balloon Text Char"/>
    <w:basedOn w:val="DefaultParagraphFont"/>
    <w:link w:val="BalloonText"/>
    <w:semiHidden/>
    <w:rsid w:val="00B13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ADMINISTRATIVE PROCEDURE 531</vt:lpstr>
    </vt:vector>
  </TitlesOfParts>
  <Company>LRSD</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PROCEDURE 531</dc:title>
  <dc:creator>system user</dc:creator>
  <cp:lastModifiedBy>Nikki Lytwyn</cp:lastModifiedBy>
  <cp:revision>2</cp:revision>
  <cp:lastPrinted>2013-08-21T23:40:00Z</cp:lastPrinted>
  <dcterms:created xsi:type="dcterms:W3CDTF">2022-09-29T20:26:00Z</dcterms:created>
  <dcterms:modified xsi:type="dcterms:W3CDTF">2022-09-29T20:26:00Z</dcterms:modified>
</cp:coreProperties>
</file>